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Pr="00C44DB2" w:rsidRDefault="00C44DB2" w:rsidP="00C44DB2">
      <w:pPr>
        <w:shd w:val="clear" w:color="auto" w:fill="FFFFFF"/>
        <w:spacing w:after="0" w:line="405" w:lineRule="atLeast"/>
        <w:ind w:right="600"/>
        <w:outlineLvl w:val="0"/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</w:pPr>
      <w:bookmarkStart w:id="0" w:name="_GoBack"/>
      <w:bookmarkEnd w:id="0"/>
      <w:r w:rsidRPr="00C44DB2"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Széchenyi 2020 - EFOP</w:t>
      </w:r>
      <w:r w:rsidRPr="00197835">
        <w:rPr>
          <w:rFonts w:ascii="Georgia" w:eastAsia="Times New Roman" w:hAnsi="Georgia" w:cs="Arial"/>
          <w:color w:val="191919"/>
          <w:kern w:val="36"/>
          <w:sz w:val="36"/>
          <w:szCs w:val="36"/>
          <w:lang w:eastAsia="hu-HU"/>
        </w:rPr>
        <w:t>-</w:t>
      </w:r>
      <w:r w:rsidR="00197835" w:rsidRPr="00197835">
        <w:rPr>
          <w:rFonts w:ascii="Georgia" w:hAnsi="Georgia" w:cs="Arial"/>
          <w:sz w:val="36"/>
          <w:szCs w:val="36"/>
        </w:rPr>
        <w:t>3.3.5-17-2017-00041</w:t>
      </w:r>
    </w:p>
    <w:p w:rsidR="00C44DB2" w:rsidRPr="00C44DB2" w:rsidRDefault="00C44DB2" w:rsidP="00C44DB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EFOP-3.</w:t>
      </w:r>
      <w:r w:rsid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3.5-17-2017-00041</w:t>
      </w:r>
    </w:p>
    <w:p w:rsidR="00C44DB2" w:rsidRPr="00C44DB2" w:rsidRDefault="00C44DB2" w:rsidP="00C44DB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noProof/>
          <w:color w:val="000000"/>
          <w:sz w:val="20"/>
          <w:szCs w:val="20"/>
          <w:lang w:eastAsia="hu-HU"/>
        </w:rPr>
        <w:drawing>
          <wp:inline distT="0" distB="0" distL="0" distR="0" wp14:anchorId="592E69BD" wp14:editId="3501E584">
            <wp:extent cx="4610100" cy="3181350"/>
            <wp:effectExtent l="0" t="0" r="0" b="0"/>
            <wp:docPr id="1" name="Kép 1" descr="http://kk.gov.hu/download/1/14/42000/Gyula_TK_08_15_felso_cmyk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k.gov.hu/download/1/14/42000/Gyula_TK_08_15_felso_cmyk_ES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B2" w:rsidRPr="00C44DB2" w:rsidRDefault="00C44DB2" w:rsidP="00C44DB2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aps/>
          <w:color w:val="244BAE"/>
          <w:sz w:val="28"/>
          <w:szCs w:val="28"/>
          <w:lang w:eastAsia="hu-HU"/>
        </w:rPr>
        <w:t>PROJEKT ÖSSZEFOGLALÓ</w:t>
      </w:r>
    </w:p>
    <w:p w:rsidR="00197835" w:rsidRPr="00197835" w:rsidRDefault="00197835" w:rsidP="00197835">
      <w:pPr>
        <w:pStyle w:val="NormlWeb"/>
        <w:spacing w:before="240" w:beforeAutospacing="0" w:after="40" w:afterAutospacing="0" w:line="216" w:lineRule="auto"/>
        <w:jc w:val="both"/>
        <w:rPr>
          <w:rFonts w:ascii="Arial" w:hAnsi="Arial" w:cs="Arial"/>
          <w:b/>
          <w:sz w:val="20"/>
          <w:szCs w:val="20"/>
        </w:rPr>
      </w:pPr>
      <w:r w:rsidRPr="00197835">
        <w:rPr>
          <w:rFonts w:ascii="Arial" w:eastAsiaTheme="minorEastAsia" w:hAnsi="Arial" w:cs="Arial"/>
          <w:b/>
          <w:caps/>
          <w:color w:val="44546A" w:themeColor="text2"/>
          <w:spacing w:val="40"/>
          <w:kern w:val="24"/>
          <w:sz w:val="20"/>
          <w:szCs w:val="20"/>
        </w:rPr>
        <w:t xml:space="preserve">Korszerű pedagógiai módszerek alkalmazását segítő Iskolai Közösségi Program kísérleti megvalósítása a Gyulai Tankerületi Központnál 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címe: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</w:t>
      </w:r>
      <w:r w:rsidR="00197835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Korszerű Pedagógiai Módszerek alkalmazását segítő iskolai közösségi program kísérleti megvalósítása a Gyulai Tankerületi Központnál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197835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kedvezményezett neve: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 Gyulai Tankerületi Központ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Pr="00C44DB2">
        <w:rPr>
          <w:rFonts w:ascii="Arial" w:eastAsia="Times New Roman" w:hAnsi="Arial" w:cs="Arial"/>
          <w:b/>
          <w:bCs/>
          <w:color w:val="40403D"/>
          <w:sz w:val="21"/>
          <w:szCs w:val="21"/>
          <w:lang w:eastAsia="hu-HU"/>
        </w:rPr>
        <w:t>A pályázatban érintett intézmények: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    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  <w:t>Gyulai Dürer Albert Általános Iskola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Gyulai Implom József Általános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Dr. Hepp Ferenc Általános Iskola és Alapfokú Művészeti Iskola</w:t>
      </w:r>
    </w:p>
    <w:p w:rsidR="00197835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Mezőberényi Általános Iskola, Alapfokú Művészeti Iskola és Kollégium            </w:t>
      </w:r>
      <w:r w:rsidRPr="00C44DB2">
        <w:rPr>
          <w:rFonts w:ascii="Arial" w:eastAsia="Times New Roman" w:hAnsi="Arial" w:cs="Arial"/>
          <w:color w:val="40403D"/>
          <w:sz w:val="21"/>
          <w:szCs w:val="21"/>
          <w:lang w:eastAsia="hu-HU"/>
        </w:rPr>
        <w:br/>
      </w:r>
      <w:r w:rsidR="00197835"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Gyomaendrődi Kis Bálint Általános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Ványai Ambrus Általános Iskola és Alapfokú Művészeti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Okányi Általános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Sarkadi Általános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Tildy Zoltán Általános Iskola és Alapfokú Művészeti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Szabó Pál Általános Iskola és Alapfokú Művészeti Iskola</w:t>
      </w: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197835" w:rsidRDefault="00197835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C44DB2" w:rsidRPr="00C44DB2" w:rsidRDefault="00C44DB2" w:rsidP="00217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A projekt azonosító száma:                                   </w:t>
      </w:r>
      <w:r w:rsidR="00197835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EFOP-3.3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.5-17-2017-000</w:t>
      </w:r>
      <w:r w:rsidR="00197835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41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szerződött támogatás összege: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</w:t>
      </w:r>
      <w:r w:rsidR="00905140" w:rsidRPr="00905140">
        <w:rPr>
          <w:rFonts w:ascii="Arial" w:eastAsia="Times New Roman" w:hAnsi="Arial" w:cs="Arial"/>
          <w:color w:val="000000" w:themeColor="text1"/>
          <w:sz w:val="20"/>
          <w:szCs w:val="20"/>
          <w:lang w:eastAsia="hu-HU"/>
        </w:rPr>
        <w:t>120.000.000 Ft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támogatás mértéke: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                                                                         100 %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tervezett befejezési dátuma: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 xml:space="preserve">                              2019. </w:t>
      </w:r>
      <w:r w:rsidR="00197835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augusztus 31.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lastRenderedPageBreak/>
        <w:t> 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TARTALMÁNAK BEMUTATÁSA:</w:t>
      </w:r>
    </w:p>
    <w:p w:rsidR="00197835" w:rsidRPr="00197835" w:rsidRDefault="00197835" w:rsidP="00197835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 xml:space="preserve">Bentlakásos és napközis tematikus tanulási tartalmak megszervezése és megvalósítása, alkalmazva az EFOP-3.2.15-VEKOP-17 projektben kifejlesztett tartalmakat. </w:t>
      </w:r>
    </w:p>
    <w:p w:rsidR="00197835" w:rsidRPr="00197835" w:rsidRDefault="00197835" w:rsidP="00197835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 xml:space="preserve">Témamodulok: 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Nomád, kaland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Közlekedés, KRESZ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Idegen nyelv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Környezetvédelem, természetismeret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Környezetvédelem, tudatos fogyasztói magatartás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Nemzeti és kulturális identitás-hagyományőrzés, anyanyelvápolás</w:t>
      </w:r>
    </w:p>
    <w:p w:rsidR="00197835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Művészeti nevelés</w:t>
      </w:r>
    </w:p>
    <w:p w:rsidR="00C44DB2" w:rsidRPr="00197835" w:rsidRDefault="00197835" w:rsidP="00197835">
      <w:pPr>
        <w:pStyle w:val="Listaszerbekezds"/>
        <w:numPr>
          <w:ilvl w:val="0"/>
          <w:numId w:val="1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0"/>
          <w:szCs w:val="20"/>
          <w:lang w:eastAsia="hu-HU"/>
        </w:rPr>
      </w:pPr>
      <w:r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Sport, egészségre nevelés</w:t>
      </w:r>
      <w:r w:rsidR="00C44DB2" w:rsidRPr="00197835">
        <w:rPr>
          <w:rFonts w:ascii="Arial" w:eastAsia="Times New Roman" w:hAnsi="Arial" w:cs="Arial"/>
          <w:color w:val="40403D"/>
          <w:sz w:val="20"/>
          <w:szCs w:val="20"/>
          <w:lang w:eastAsia="hu-HU"/>
        </w:rPr>
        <w:t> </w:t>
      </w:r>
    </w:p>
    <w:p w:rsid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hosszú távú céljai:</w:t>
      </w:r>
    </w:p>
    <w:p w:rsidR="00217E92" w:rsidRPr="00C44DB2" w:rsidRDefault="00217E9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 köznevelés minőségi fejlesztése nem-formális és informális tanulási módszerek kísérleti megvalósításán keresztül, hangsúlyt fektetve az élményalapú tanulás módszertani megalapozására, a tanulás közösségi élménnyé formálására.</w:t>
      </w:r>
    </w:p>
    <w:p w:rsid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rövid távú céljai:</w:t>
      </w:r>
    </w:p>
    <w:p w:rsidR="00217E92" w:rsidRPr="00217E92" w:rsidRDefault="00217E92" w:rsidP="00217E9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 tematikus programok előkészítését követően, helyi szintű intézményi kommunikációt követően, iskolai jelentkeztetés formájában valósul meg.</w:t>
      </w:r>
    </w:p>
    <w:p w:rsidR="00217E92" w:rsidRPr="00217E92" w:rsidRDefault="00217E92" w:rsidP="00217E9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Amennyiben nem jelentkezik megfelelő számú gyermek a tematikus programra, célzott intézményi kommunikáció, hirdetés és kampány keretében kerülnek bevonásra a gyerekek.</w:t>
      </w:r>
    </w:p>
    <w:p w:rsidR="00217E92" w:rsidRPr="00C44DB2" w:rsidRDefault="00217E92" w:rsidP="00217E9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Egy programon akár keverten évfolyamokból és intézményekből is részt vehetnek, így a jelentkeztetés nem kizárólag intézményi szintre szorítkozik.</w:t>
      </w:r>
    </w:p>
    <w:p w:rsidR="00C44DB2" w:rsidRDefault="00C44DB2" w:rsidP="00C44DB2">
      <w:p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A projekt szakmai tartalma:</w:t>
      </w:r>
    </w:p>
    <w:p w:rsidR="00217E92" w:rsidRPr="00217E92" w:rsidRDefault="00217E92" w:rsidP="00217E92">
      <w:pPr>
        <w:pStyle w:val="Listaszerbekezds"/>
        <w:numPr>
          <w:ilvl w:val="0"/>
          <w:numId w:val="2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Témamodulok meghatározása, kidolgozott módszertanok adaptálása</w:t>
      </w:r>
    </w:p>
    <w:p w:rsidR="00217E92" w:rsidRPr="00217E92" w:rsidRDefault="00217E92" w:rsidP="00217E92">
      <w:pPr>
        <w:pStyle w:val="Listaszerbekezds"/>
        <w:numPr>
          <w:ilvl w:val="0"/>
          <w:numId w:val="2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Tematikus programok szakmai előkészítése</w:t>
      </w:r>
    </w:p>
    <w:p w:rsidR="00217E92" w:rsidRPr="00217E92" w:rsidRDefault="00217E92" w:rsidP="00217E92">
      <w:pPr>
        <w:pStyle w:val="Listaszerbekezds"/>
        <w:numPr>
          <w:ilvl w:val="0"/>
          <w:numId w:val="2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Programok szervezése, jelentkeztetés</w:t>
      </w:r>
    </w:p>
    <w:p w:rsidR="00217E92" w:rsidRPr="00217E92" w:rsidRDefault="00217E92" w:rsidP="00217E92">
      <w:pPr>
        <w:pStyle w:val="Listaszerbekezds"/>
        <w:numPr>
          <w:ilvl w:val="0"/>
          <w:numId w:val="2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Lebonyolítás</w:t>
      </w:r>
    </w:p>
    <w:p w:rsidR="00217E92" w:rsidRPr="00217E92" w:rsidRDefault="00217E92" w:rsidP="00217E92">
      <w:pPr>
        <w:pStyle w:val="Listaszerbekezds"/>
        <w:numPr>
          <w:ilvl w:val="0"/>
          <w:numId w:val="2"/>
        </w:numPr>
        <w:shd w:val="clear" w:color="auto" w:fill="FFFFFF"/>
        <w:spacing w:after="300" w:line="300" w:lineRule="atLeast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217E92">
        <w:rPr>
          <w:rFonts w:ascii="Arial" w:eastAsia="Times New Roman" w:hAnsi="Arial" w:cs="Arial"/>
          <w:color w:val="40403D"/>
          <w:sz w:val="21"/>
          <w:szCs w:val="21"/>
          <w:lang w:eastAsia="hu-HU"/>
        </w:rPr>
        <w:t>Minőségbiztosítás</w:t>
      </w: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217E92" w:rsidRDefault="00217E9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</w:pP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lastRenderedPageBreak/>
        <w:t>A projekt az Európai Szociális Alap és Magyarország költségvetése társfinanszírozásában valósul meg.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 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b/>
          <w:bCs/>
          <w:color w:val="404040"/>
          <w:sz w:val="20"/>
          <w:szCs w:val="20"/>
          <w:lang w:eastAsia="hu-HU"/>
        </w:rPr>
        <w:t>További információ kérhető: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Gyulai Tankerületi Központ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t>5700 Gyula, Ady Endre utca 19.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Telefon: +36 (66) 795-242</w:t>
      </w:r>
      <w:r w:rsidRPr="00C44DB2">
        <w:rPr>
          <w:rFonts w:ascii="Arial" w:eastAsia="Times New Roman" w:hAnsi="Arial" w:cs="Arial"/>
          <w:color w:val="404040"/>
          <w:sz w:val="20"/>
          <w:szCs w:val="20"/>
          <w:lang w:eastAsia="hu-HU"/>
        </w:rPr>
        <w:br/>
        <w:t>E-mail: gyula@kk.gov.hu</w:t>
      </w: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</w:p>
    <w:p w:rsidR="00C44DB2" w:rsidRPr="00C44DB2" w:rsidRDefault="00C44DB2" w:rsidP="00C44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3D"/>
          <w:sz w:val="21"/>
          <w:szCs w:val="21"/>
          <w:lang w:eastAsia="hu-HU"/>
        </w:rPr>
      </w:pPr>
      <w:r w:rsidRPr="00C44DB2">
        <w:rPr>
          <w:rFonts w:ascii="Arial" w:eastAsia="Times New Roman" w:hAnsi="Arial" w:cs="Arial"/>
          <w:noProof/>
          <w:color w:val="404040"/>
          <w:sz w:val="20"/>
          <w:szCs w:val="20"/>
          <w:lang w:eastAsia="hu-HU"/>
        </w:rPr>
        <w:drawing>
          <wp:inline distT="0" distB="0" distL="0" distR="0" wp14:anchorId="649B6CD9" wp14:editId="0767C261">
            <wp:extent cx="4610100" cy="3181350"/>
            <wp:effectExtent l="0" t="0" r="0" b="0"/>
            <wp:docPr id="2" name="Kép 2" descr="http://kk.gov.hu/download/2/14/42000/GyulaTK_08_15_also_CMYK_%20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k.gov.hu/download/2/14/42000/GyulaTK_08_15_also_CMYK_%20ES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E" w:rsidRDefault="002D144E"/>
    <w:sectPr w:rsidR="002D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1E08"/>
    <w:multiLevelType w:val="hybridMultilevel"/>
    <w:tmpl w:val="B5E24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5915"/>
    <w:multiLevelType w:val="hybridMultilevel"/>
    <w:tmpl w:val="9F0869A2"/>
    <w:lvl w:ilvl="0" w:tplc="86CCD76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197835"/>
    <w:rsid w:val="001A0419"/>
    <w:rsid w:val="00217E92"/>
    <w:rsid w:val="002D144E"/>
    <w:rsid w:val="00626F7B"/>
    <w:rsid w:val="007E790F"/>
    <w:rsid w:val="00905140"/>
    <w:rsid w:val="00A537E8"/>
    <w:rsid w:val="00C4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E6E4-5059-480D-B078-8D4A1C9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9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38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4641">
                  <w:marLeft w:val="-15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Iskolatitkár</dc:creator>
  <cp:keywords/>
  <dc:description/>
  <cp:lastModifiedBy>Iskolatitkár</cp:lastModifiedBy>
  <cp:revision>2</cp:revision>
  <dcterms:created xsi:type="dcterms:W3CDTF">2018-10-15T09:24:00Z</dcterms:created>
  <dcterms:modified xsi:type="dcterms:W3CDTF">2018-10-15T09:24:00Z</dcterms:modified>
</cp:coreProperties>
</file>