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Pr="00C44DB2" w:rsidRDefault="00C44DB2" w:rsidP="00C44DB2">
      <w:pPr>
        <w:shd w:val="clear" w:color="auto" w:fill="FFFFFF"/>
        <w:spacing w:after="0" w:line="405" w:lineRule="atLeast"/>
        <w:ind w:right="600"/>
        <w:outlineLvl w:val="0"/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</w:pPr>
      <w:bookmarkStart w:id="0" w:name="_GoBack"/>
      <w:bookmarkEnd w:id="0"/>
      <w:r w:rsidRPr="00C44DB2"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  <w:t>Széchenyi 2020 - EFOP-3.2.5-17-2017-00029</w:t>
      </w:r>
    </w:p>
    <w:p w:rsidR="00C44DB2" w:rsidRPr="00C44DB2" w:rsidRDefault="00C44DB2" w:rsidP="00C44DB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EFOP-3.2.5-17-2017-00029</w:t>
      </w:r>
    </w:p>
    <w:p w:rsidR="00C44DB2" w:rsidRPr="00C44DB2" w:rsidRDefault="00C44DB2" w:rsidP="00C44DB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44DB2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 wp14:anchorId="592E69BD" wp14:editId="3501E584">
            <wp:extent cx="4610100" cy="3181350"/>
            <wp:effectExtent l="0" t="0" r="0" b="0"/>
            <wp:docPr id="1" name="Kép 1" descr="http://kk.gov.hu/download/1/14/42000/Gyula_TK_08_15_felso_cmyk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k.gov.hu/download/1/14/42000/Gyula_TK_08_15_felso_cmyk_ESZ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B2" w:rsidRPr="00C44DB2" w:rsidRDefault="00C44DB2" w:rsidP="00C44DB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aps/>
          <w:color w:val="244BAE"/>
          <w:sz w:val="28"/>
          <w:szCs w:val="28"/>
          <w:lang w:eastAsia="hu-HU"/>
        </w:rPr>
        <w:t>PROJEKT ÖSSZEFOGLALÓ</w:t>
      </w:r>
    </w:p>
    <w:p w:rsidR="00C44DB2" w:rsidRPr="00C44DB2" w:rsidRDefault="00C44DB2" w:rsidP="00C44DB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PÁLYAORIENTÁCIÓS ESZKÖZTÁR SZÉLESÍTÉSE, KIEMELTEN AZ MTMI KÉSZSÉGEK ÉS KOMPETENCIÁK FEJLESZTÉSE A GYULAI TANKERÜLETBEN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címe: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Pályaorientációs eszköztár szélesítése, kiemelten az MTMI készségek és kompetenciák fejlesztése a Gyulai Tankerületben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3D"/>
          <w:sz w:val="21"/>
          <w:szCs w:val="21"/>
          <w:lang w:eastAsia="hu-HU"/>
        </w:rPr>
        <w:t>A kedvezményezett neve: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 Gyulai Tankerületi Központ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b/>
          <w:bCs/>
          <w:color w:val="40403D"/>
          <w:sz w:val="21"/>
          <w:szCs w:val="21"/>
          <w:lang w:eastAsia="hu-HU"/>
        </w:rPr>
        <w:t>A pályázatban érintett intézmények: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    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Gyulai Dürer Albert Általános Iskola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Mezőberényi Általános Iskola, Alapfokú Művészeti Iskola és Kollégium            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Szabó Pál Általános Iskola és Alapfokú Művészeti Iskola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Tildy Zoltán Általános Iskola és Alapfokú Művészeti Iskola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b/>
          <w:bCs/>
          <w:color w:val="40403D"/>
          <w:sz w:val="21"/>
          <w:szCs w:val="21"/>
          <w:lang w:eastAsia="hu-HU"/>
        </w:rPr>
        <w:t>A pályázat megvalósítási helyszínei: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    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Gyulai Dürer Albert Általános Iskola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(Cím: 5700 Gyula, Szent István utca 29.)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Gyulai Dürer Albert Általános Iskola Bay Zoltán Általános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Iskola Tagintézménye (Cím: 5711 Gyula, Illyés Gyula utca 1-3.)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Mezőberényi Általános Iskola, Alapfokú Művészeti Iskola és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Kollégium (Cím: 5650 Mezőberény, Petőfi út 17-19. és Luther tér 1.)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Mezőberényi Általános Iskola Bélmegyeri Tagintézménye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(Cím: 5643 Bélmegyer, Petőfi utca 27-29.)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Mezőberényi Általános Iskola Muronyi Tagintézménye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lastRenderedPageBreak/>
        <w:t>(Cím: 5672 Murony, Ady Endre utca 5-7.)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Szabó Pál Általános Iskola és Alapfokú Művészeti Iskola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(Cím: 5530 Vésztő, Vörösmarty utca 1-7. és Bartók tér 2-4.)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Tildy Zoltán Általános Iskola és Alapfokú Művészeti Iskola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(Cím: 5520 Szeghalom, Tildy utca 19-21. és Dózsa György utca 13.)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azonosító száma:                                   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EFOP-3.2.5-17-2017-00029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szerződött támogatás összege: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            69.993.900 forint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támogatás mértéke: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                                            100 %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tervezett befejezési dátuma: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 2019. november 30.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TARTALMÁNAK BEMUTATÁSA: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Verdana" w:eastAsia="Times New Roman" w:hAnsi="Verdana" w:cs="Arial"/>
          <w:color w:val="40403D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firstLine="708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A teljes életutat támogató pályaorientáció elgondolása az élethosszig tartó fejlődésen alapul.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Ma Európában és Magyarországon kiemelt fontosságú, hogy minden állampolgár képes legyen teljes szakmai életútját megtervezni, elérhesse az ehhez szükséges szolgáltatásokat.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firstLine="708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A piacgazdaságban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szakmastruktúra alakulását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az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individuális igények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és a szakmai végzettséghez kapcsolódó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munkaerő-piaci helyzet befolyásolja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a leginkább. A piacképes szakmát választó fiatalok az adott szakmában szeretnének elhelyezkedni, de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ha meghatározott szakmákban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kevés, vagy egyáltalán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nincs munkalehetőség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, akkor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kevesebb számú fiatal vállalja azt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a kockázatot, hogy a szakmai végzettségével nem tud elhelyezkedni.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firstLine="708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Hazánk egyik kiemelkedő stratégiai célja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a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felsőoktatás területén a műszaki és informatikai (STEM/MTMI) hallgatók részarányának növelése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a hallgatók között, 27%-ról 40%-os arány közelébe, hiszen a jelenlegi munkaerő-piaci adatok szerint a nem megfelelő létszám veszélyezteti a gazdaságot, lassítja annak fejlődési ütemét.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firstLine="708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A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Gyulai Tankerületi Központ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ezen célok mentén haladva,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jelen projektjével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határozott lépéseket kíván tenni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annak érdekében, hogy az</w:t>
      </w:r>
      <w:r w:rsidR="001C5FF1">
        <w:rPr>
          <w:rFonts w:ascii="Arial" w:eastAsia="Times New Roman" w:hAnsi="Arial" w:cs="Arial"/>
          <w:color w:val="404040"/>
          <w:sz w:val="20"/>
          <w:szCs w:val="20"/>
          <w:lang w:eastAsia="hu-HU"/>
        </w:rPr>
        <w:t xml:space="preserve"> 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oktatásban nagyobb hangsúlyt kaphassanak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a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természettudományos témák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, illetve a tanulók számára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egyre népszerűbb legyen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e tantárgyak tanulása és a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mérnöki, természettudományos, informatikai életpálya választása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. </w:t>
      </w: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Szem előtt tartva a helyi munkaerő-piac igényeit, komplex, adekvát segítséget kíván nyújtani a tanulóknak és szüleiknek a pályaorientáció, életpálya tervezés területén.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hosszú távú céljai: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hozzájárul a tudatos életpálya-tervezés stratégiájának kialakításához, terjesztéséhez mind a pedagógusok, mind pedig a diákok és szüleik körében,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segíti a diákok önálló életre való képességeinek, kompetenciáinak fejlődését,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lastRenderedPageBreak/>
        <w:t>-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hozzájárul, hogy a természettudományos pályák renoméja növekedjen, s több diák válassza ezt a területet továbbtanulása kapcsán,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segíti az oktatási rendszerből való lemorzsolódás csökkentését,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="001C5FF1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 xml:space="preserve">       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felkészít a 21. századi folyamatos technológiai fejlődéssel és az információs, illetve kommunikációs technológiák alkalmazásával kapcsolatos képességek fejlesztésére.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     A projekt rövid távú céljai: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fejlődnek a célcsoport tagjainak MTMI készségei, képességei,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javul a tanulók öndefiníciós képessége a pályaorientációs tevékenységek révén,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felkelti az érdeklődést a természettudományos pályák iránt,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="001C5FF1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 xml:space="preserve">    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fejlődnek a pedagógusok ismeretei a pályaorientációs szolgáltatások kapcsán,</w:t>
      </w:r>
    </w:p>
    <w:p w:rsidR="001C5FF1" w:rsidRDefault="00C44DB2" w:rsidP="001C5FF1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-</w:t>
      </w:r>
      <w:r w:rsidR="001C5FF1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a szülők megismerik az életpálya-építés fontosságát,</w:t>
      </w:r>
    </w:p>
    <w:p w:rsidR="00C44DB2" w:rsidRPr="00C44DB2" w:rsidRDefault="001C5FF1" w:rsidP="001C5FF1">
      <w:pPr>
        <w:shd w:val="clear" w:color="auto" w:fill="FFFFFF"/>
        <w:spacing w:after="300" w:line="300" w:lineRule="atLeast"/>
        <w:ind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40403D"/>
          <w:sz w:val="21"/>
          <w:szCs w:val="21"/>
          <w:lang w:eastAsia="hu-HU"/>
        </w:rPr>
        <w:t xml:space="preserve">-   </w:t>
      </w:r>
      <w:r w:rsidR="00C44DB2"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jó gyakorlatok épülnek be a közoktatás rendszerébe, a pályaorientációs szolgáltatások területén.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szakmai tartalma: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1"/>
          <w:szCs w:val="21"/>
          <w:lang w:eastAsia="hu-HU"/>
        </w:rPr>
        <w:t>„A” modul:</w:t>
      </w:r>
    </w:p>
    <w:p w:rsidR="00C44DB2" w:rsidRPr="00C44DB2" w:rsidRDefault="00C44DB2" w:rsidP="00C44DB2">
      <w:pPr>
        <w:shd w:val="clear" w:color="auto" w:fill="FFFFFF"/>
        <w:spacing w:after="240" w:line="240" w:lineRule="auto"/>
        <w:ind w:left="1560" w:hanging="425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a)    Rendhagyó, tematikus órák, találkozók szervezése (végzett diákok, sikeres emberek, szülők életpályáinak, életútjainak bemutatása).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left="1560" w:hanging="425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b)  Iskolalátogatás, nyílt nap, pályaválasztási rendezvény (továbbtanulási célként azonosítható külső intézményben és/vagy saját intézményben megvalósított rendezvény).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left="1560" w:hanging="425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c)    Interaktív, illetve virtuális térben megvalósított – életpálya-építéshez kapcsolódó – versenyek, vetélkedők szervezése.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left="1560" w:hanging="425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d) Pályaorientációhoz kapcsolódó műhelyfoglalkozások, műhelymunka, workshopok megvalósítása.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1"/>
          <w:szCs w:val="21"/>
          <w:lang w:eastAsia="hu-HU"/>
        </w:rPr>
        <w:t>„B” modul:</w:t>
      </w:r>
    </w:p>
    <w:p w:rsidR="00C44DB2" w:rsidRPr="00C44DB2" w:rsidRDefault="00C44DB2" w:rsidP="00C44DB2">
      <w:pPr>
        <w:shd w:val="clear" w:color="auto" w:fill="FFFFFF"/>
        <w:spacing w:after="240" w:line="240" w:lineRule="auto"/>
        <w:ind w:left="1437"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a)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Több szakmaterületet érintő munkahelyek bemutatása.</w:t>
      </w:r>
    </w:p>
    <w:p w:rsidR="00C44DB2" w:rsidRPr="00C44DB2" w:rsidRDefault="00C44DB2" w:rsidP="00C44DB2">
      <w:pPr>
        <w:shd w:val="clear" w:color="auto" w:fill="FFFFFF"/>
        <w:spacing w:after="240" w:line="240" w:lineRule="auto"/>
        <w:ind w:left="1437"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b)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A pályaorientációhoz kötött önismereti programok, tréningek, szakkörök megvalósítása.</w:t>
      </w:r>
    </w:p>
    <w:p w:rsidR="00C44DB2" w:rsidRPr="00C44DB2" w:rsidRDefault="00C44DB2" w:rsidP="00C44DB2">
      <w:pPr>
        <w:shd w:val="clear" w:color="auto" w:fill="FFFFFF"/>
        <w:spacing w:after="240" w:line="240" w:lineRule="auto"/>
        <w:ind w:left="1437"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c)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MTMI területet érintő speciális tematikájú, élmény jellegű szakkörök, diákkörök szervezése.</w:t>
      </w:r>
    </w:p>
    <w:p w:rsidR="00C44DB2" w:rsidRPr="00C44DB2" w:rsidRDefault="00C44DB2" w:rsidP="00C44DB2">
      <w:pPr>
        <w:shd w:val="clear" w:color="auto" w:fill="FFFFFF"/>
        <w:spacing w:after="240" w:line="240" w:lineRule="auto"/>
        <w:ind w:left="1437"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lastRenderedPageBreak/>
        <w:t>d)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A középiskolába történő átmenetet segítő MTMI területet érintő felkészítő képzés (5-8. osztályosoknak).</w:t>
      </w:r>
    </w:p>
    <w:p w:rsidR="00C44DB2" w:rsidRPr="00C44DB2" w:rsidRDefault="00C44DB2" w:rsidP="00C44DB2">
      <w:pPr>
        <w:shd w:val="clear" w:color="auto" w:fill="FFFFFF"/>
        <w:spacing w:after="240" w:line="240" w:lineRule="auto"/>
        <w:ind w:left="1437" w:hanging="360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e)</w:t>
      </w:r>
      <w:r w:rsidRPr="00C44DB2">
        <w:rPr>
          <w:rFonts w:ascii="Times New Roman" w:eastAsia="Times New Roman" w:hAnsi="Times New Roman" w:cs="Times New Roman"/>
          <w:color w:val="404040"/>
          <w:sz w:val="14"/>
          <w:szCs w:val="14"/>
          <w:lang w:eastAsia="hu-HU"/>
        </w:rPr>
        <w:t>     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IKT eszközökkel, perifériákkal, programozással kapcsolatos készségfejlesztő tevékenység megvalósítása.</w:t>
      </w:r>
    </w:p>
    <w:p w:rsidR="00C44DB2" w:rsidRPr="00C44DB2" w:rsidRDefault="00C44DB2" w:rsidP="00C44DB2">
      <w:pPr>
        <w:shd w:val="clear" w:color="auto" w:fill="FFFFFF"/>
        <w:spacing w:after="300" w:line="300" w:lineRule="atLeast"/>
        <w:ind w:hanging="360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t>     </w:t>
      </w:r>
      <w:r w:rsidRPr="00C44DB2">
        <w:rPr>
          <w:rFonts w:ascii="Arial" w:eastAsia="Times New Roman" w:hAnsi="Arial" w:cs="Arial"/>
          <w:b/>
          <w:bCs/>
          <w:color w:val="404040"/>
          <w:sz w:val="21"/>
          <w:szCs w:val="21"/>
          <w:lang w:eastAsia="hu-HU"/>
        </w:rPr>
        <w:t>„C” modul: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br/>
        <w:t>        a)     Az iskolában tanító pedagógusok pályaorientációs                         felkészültségét szolgáló, belső témahetek, témanapok, tréningek, képzéssorozatok megvalósítása.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br/>
        <w:t>        b)     Pályaválasztási tanár-diák-szülő találkozó, előadás szervezése.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br/>
        <w:t>       c)     Az oktatásban alkalmazható korszerű, ismeretterjesztő, interaktív eszközök beszerzése, alkalmazása, taneszköz készlet bővítése.</w:t>
      </w:r>
      <w:r w:rsidRPr="00C44DB2">
        <w:rPr>
          <w:rFonts w:ascii="Arial" w:eastAsia="Times New Roman" w:hAnsi="Arial" w:cs="Arial"/>
          <w:color w:val="404040"/>
          <w:sz w:val="21"/>
          <w:szCs w:val="21"/>
          <w:lang w:eastAsia="hu-HU"/>
        </w:rPr>
        <w:br/>
        <w:t>    d)     Az MTMI oktatását segítő és tanulását inspiráló modern technológiák és módszertanok alkalmazása.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az Európai Szociális Alap és Magyarország költségvetése társfinanszírozásában valósul meg.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További információ kérhető: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Gyulai Tankerületi Központ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5700 Gyula, Ady Endre utca 19.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br/>
        <w:t>Telefon: +36 (66) 795-242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br/>
        <w:t>E-mail: gyula@kk.gov.hu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noProof/>
          <w:color w:val="404040"/>
          <w:sz w:val="20"/>
          <w:szCs w:val="20"/>
          <w:lang w:eastAsia="hu-HU"/>
        </w:rPr>
        <w:drawing>
          <wp:inline distT="0" distB="0" distL="0" distR="0" wp14:anchorId="649B6CD9" wp14:editId="0767C261">
            <wp:extent cx="4610100" cy="3181350"/>
            <wp:effectExtent l="0" t="0" r="0" b="0"/>
            <wp:docPr id="2" name="Kép 2" descr="http://kk.gov.hu/download/2/14/42000/GyulaTK_08_15_also_CMYK_%20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k.gov.hu/download/2/14/42000/GyulaTK_08_15_also_CMYK_%20ES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E" w:rsidRDefault="002D144E"/>
    <w:sectPr w:rsidR="002D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1C5FF1"/>
    <w:rsid w:val="002D144E"/>
    <w:rsid w:val="00C44DB2"/>
    <w:rsid w:val="00F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5EE2D-0296-4F76-A604-D1400B3A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3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38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4641">
                  <w:marLeft w:val="-15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809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Iskolatitkár</dc:creator>
  <cp:lastModifiedBy>Iskolatitkár</cp:lastModifiedBy>
  <cp:revision>2</cp:revision>
  <dcterms:created xsi:type="dcterms:W3CDTF">2018-10-15T09:24:00Z</dcterms:created>
  <dcterms:modified xsi:type="dcterms:W3CDTF">2018-10-15T09:24:00Z</dcterms:modified>
</cp:coreProperties>
</file>